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328" w:rsidRDefault="00E67328" w:rsidP="00E67328">
      <w:pPr>
        <w:pStyle w:val="Heading2"/>
        <w:spacing w:after="800"/>
        <w:jc w:val="center"/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Poljske jezične vježbe I</w:t>
      </w:r>
    </w:p>
    <w:tbl>
      <w:tblPr>
        <w:tblW w:w="9020" w:type="dxa"/>
        <w:tblLayout w:type="fixed"/>
        <w:tblLook w:val="04A0" w:firstRow="1" w:lastRow="0" w:firstColumn="1" w:lastColumn="0" w:noHBand="0" w:noVBand="1"/>
      </w:tblPr>
      <w:tblGrid>
        <w:gridCol w:w="2255"/>
        <w:gridCol w:w="6765"/>
      </w:tblGrid>
      <w:tr w:rsidR="00E67328" w:rsidTr="009309D4">
        <w:trPr>
          <w:trHeight w:hRule="exact" w:val="320"/>
        </w:trPr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Naziv</w:t>
            </w:r>
          </w:p>
        </w:tc>
        <w:tc>
          <w:tcPr>
            <w:tcW w:w="6765" w:type="dxa"/>
          </w:tcPr>
          <w:p w:rsidR="00E67328" w:rsidRDefault="00E67328" w:rsidP="009309D4">
            <w:r>
              <w:t>Poljske jezične vježbe I</w:t>
            </w:r>
          </w:p>
        </w:tc>
      </w:tr>
      <w:tr w:rsidR="00E67328" w:rsidTr="009309D4">
        <w:trPr>
          <w:trHeight w:hRule="exact" w:val="320"/>
        </w:trPr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Organizacijska jedinica</w:t>
            </w:r>
          </w:p>
        </w:tc>
        <w:tc>
          <w:tcPr>
            <w:tcW w:w="6765" w:type="dxa"/>
          </w:tcPr>
          <w:p w:rsidR="00E67328" w:rsidRDefault="00E67328" w:rsidP="009309D4">
            <w:r>
              <w:t>Katedra za poljski jezik i književnost</w:t>
            </w:r>
          </w:p>
        </w:tc>
      </w:tr>
      <w:tr w:rsidR="00E67328" w:rsidTr="009309D4">
        <w:trPr>
          <w:trHeight w:hRule="exact" w:val="320"/>
        </w:trPr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ECTS bodovi</w:t>
            </w:r>
          </w:p>
        </w:tc>
        <w:tc>
          <w:tcPr>
            <w:tcW w:w="6765" w:type="dxa"/>
          </w:tcPr>
          <w:p w:rsidR="00E67328" w:rsidRDefault="00E67328" w:rsidP="009309D4">
            <w:r>
              <w:t>5</w:t>
            </w:r>
          </w:p>
        </w:tc>
      </w:tr>
      <w:tr w:rsidR="00E67328" w:rsidTr="009309D4">
        <w:trPr>
          <w:trHeight w:hRule="exact" w:val="320"/>
        </w:trPr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Šifra</w:t>
            </w:r>
          </w:p>
        </w:tc>
        <w:tc>
          <w:tcPr>
            <w:tcW w:w="6765" w:type="dxa"/>
          </w:tcPr>
          <w:p w:rsidR="00E67328" w:rsidRDefault="00E67328" w:rsidP="009309D4">
            <w:r>
              <w:t>184263</w:t>
            </w:r>
          </w:p>
        </w:tc>
      </w:tr>
      <w:tr w:rsidR="00E67328" w:rsidTr="009309D4">
        <w:trPr>
          <w:trHeight w:hRule="exact" w:val="320"/>
        </w:trPr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Semestri izvođenja</w:t>
            </w:r>
          </w:p>
        </w:tc>
        <w:tc>
          <w:tcPr>
            <w:tcW w:w="6765" w:type="dxa"/>
          </w:tcPr>
          <w:p w:rsidR="00E67328" w:rsidRDefault="00E67328" w:rsidP="009309D4">
            <w:r>
              <w:t>Zimski</w:t>
            </w:r>
          </w:p>
        </w:tc>
      </w:tr>
      <w:tr w:rsidR="00E67328" w:rsidTr="009309D4">
        <w:tc>
          <w:tcPr>
            <w:tcW w:w="2255" w:type="dxa"/>
          </w:tcPr>
          <w:p w:rsidR="00E67328" w:rsidRDefault="00E67328" w:rsidP="009309D4">
            <w:r>
              <w:rPr>
                <w:b/>
              </w:rPr>
              <w:t>Nastavnici</w:t>
            </w:r>
          </w:p>
        </w:tc>
        <w:tc>
          <w:tcPr>
            <w:tcW w:w="6765" w:type="dxa"/>
          </w:tcPr>
          <w:p w:rsidR="00E67328" w:rsidRDefault="00E67328" w:rsidP="009309D4">
            <w:r>
              <w:t xml:space="preserve">Ivana </w:t>
            </w:r>
            <w:proofErr w:type="spellStart"/>
            <w:r>
              <w:t>Maslač</w:t>
            </w:r>
            <w:proofErr w:type="spellEnd"/>
            <w:r>
              <w:t xml:space="preserve">, v. </w:t>
            </w:r>
            <w:proofErr w:type="spellStart"/>
            <w:r>
              <w:t>lekt</w:t>
            </w:r>
            <w:proofErr w:type="spellEnd"/>
            <w:r>
              <w:t>. (nositelj)</w:t>
            </w:r>
          </w:p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r>
              <w:rPr>
                <w:b/>
              </w:rPr>
              <w:t>Satnica</w:t>
            </w:r>
          </w:p>
        </w:tc>
        <w:tc>
          <w:tcPr>
            <w:tcW w:w="6765" w:type="dxa"/>
            <w:tcMar>
              <w:top w:w="160" w:type="dxa"/>
            </w:tcMar>
          </w:tcPr>
          <w:tbl>
            <w:tblPr>
              <w:tblW w:w="5000" w:type="dxa"/>
              <w:tblLayout w:type="fixed"/>
              <w:tblLook w:val="04A0" w:firstRow="1" w:lastRow="0" w:firstColumn="1" w:lastColumn="0" w:noHBand="0" w:noVBand="1"/>
            </w:tblPr>
            <w:tblGrid>
              <w:gridCol w:w="2500"/>
              <w:gridCol w:w="2500"/>
            </w:tblGrid>
            <w:tr w:rsidR="00E67328" w:rsidTr="009309D4">
              <w:tc>
                <w:tcPr>
                  <w:tcW w:w="2310" w:type="dxa"/>
                  <w:tcMar>
                    <w:left w:w="0" w:type="dxa"/>
                  </w:tcMar>
                </w:tcPr>
                <w:p w:rsidR="00E67328" w:rsidRDefault="00E67328" w:rsidP="009309D4">
                  <w:r>
                    <w:t>Lektorske vježbe</w:t>
                  </w:r>
                </w:p>
              </w:tc>
              <w:tc>
                <w:tcPr>
                  <w:tcW w:w="2310" w:type="dxa"/>
                </w:tcPr>
                <w:p w:rsidR="00E67328" w:rsidRDefault="00E67328" w:rsidP="009309D4">
                  <w:r>
                    <w:t>60</w:t>
                  </w:r>
                </w:p>
              </w:tc>
            </w:tr>
          </w:tbl>
          <w:p w:rsidR="00E67328" w:rsidRDefault="00E67328" w:rsidP="009309D4"/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r>
              <w:rPr>
                <w:b/>
              </w:rPr>
              <w:t>Preduvjeti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>
            <w:r>
              <w:t>Nema</w:t>
            </w:r>
          </w:p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r>
              <w:rPr>
                <w:b/>
              </w:rPr>
              <w:t>Cilj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>
            <w:pPr>
              <w:jc w:val="both"/>
            </w:pPr>
            <w:r>
              <w:t>Usavršavanje znanja poljskog jezika s posebnim naglaskom na komunikaciju i upotrebu proširenoga specifičnog vokabulara.</w:t>
            </w:r>
          </w:p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r>
              <w:rPr>
                <w:b/>
              </w:rPr>
              <w:t>Metode podučavanja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>
            <w:pPr>
              <w:jc w:val="both"/>
            </w:pPr>
            <w:r>
              <w:t xml:space="preserve">Vježbe poprimaju oblik konverzacije, razvijaju prije svega jezičnu kompetenciju vezanu uz govor. Studenti pripremaju izlaganja i rasprave na zadane teme, kao i teme vezane uz različita područja vezana uz poljsku kulturu i razne sfere društvenog života. Uče prevoditi tekstove koje sadrže specifičnu terminologiju raznih područja, vježbaju tečnost izgovora i spontanost reakcije u složenim komunikacijskim situacijama, uče prepoznavati standardni i govorni jezik te koristiti oba - ovisno o situaciji. </w:t>
            </w:r>
          </w:p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r>
              <w:rPr>
                <w:b/>
              </w:rPr>
              <w:t>Metode ocjenjivanja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>
            <w:pPr>
              <w:jc w:val="both"/>
            </w:pPr>
            <w:r>
              <w:t>Tijekom semestra studenti pišu nekoliko pismenih radova, usmeno odgovaraju prepričavanje i razgovor na obrađene teme uz posebnu provjeru praktične primjene novog vokabulara i fraza, te pišu dva kolokvija - provjere stečenog znanja gramatike.</w:t>
            </w:r>
          </w:p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pPr>
              <w:spacing w:after="60"/>
            </w:pPr>
            <w:r>
              <w:rPr>
                <w:b/>
              </w:rPr>
              <w:t>Ishodi učenja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/>
        </w:tc>
      </w:tr>
      <w:tr w:rsidR="00E6732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analizirati i raščlanjivati strukturu različitih vrsta tekstova na poljskom jeziku te objasniti njihovu pragmatičku funkciju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ispravno koristiti sve gramatičke oblike poljskog jezika u pismenom i usmenom izražavanju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razumjeti sadržaj i intenciju svih vrsta napisanih ili izgovorenih tekstova na poljskom jeziku neovisno o tome radi li se o izravnom, indirektnom, aluzivnom, ironičnom ili šaljivom tipu teksta</w:t>
                  </w:r>
                </w:p>
              </w:tc>
            </w:tr>
          </w:tbl>
          <w:p w:rsidR="00E67328" w:rsidRDefault="00E67328" w:rsidP="009309D4"/>
        </w:tc>
      </w:tr>
      <w:tr w:rsidR="00E67328" w:rsidTr="009309D4">
        <w:tc>
          <w:tcPr>
            <w:tcW w:w="2255" w:type="dxa"/>
            <w:tcMar>
              <w:top w:w="160" w:type="dxa"/>
            </w:tcMar>
          </w:tcPr>
          <w:p w:rsidR="00E67328" w:rsidRDefault="00E67328" w:rsidP="009309D4">
            <w:pPr>
              <w:spacing w:after="60"/>
            </w:pPr>
            <w:r>
              <w:rPr>
                <w:b/>
              </w:rPr>
              <w:t>Sadržaj</w:t>
            </w:r>
          </w:p>
        </w:tc>
        <w:tc>
          <w:tcPr>
            <w:tcW w:w="6765" w:type="dxa"/>
            <w:tcMar>
              <w:top w:w="160" w:type="dxa"/>
            </w:tcMar>
          </w:tcPr>
          <w:p w:rsidR="00E67328" w:rsidRDefault="00E67328" w:rsidP="009309D4"/>
        </w:tc>
      </w:tr>
      <w:tr w:rsidR="00E67328" w:rsidTr="009309D4">
        <w:tc>
          <w:tcPr>
            <w:tcW w:w="9020" w:type="dxa"/>
            <w:gridSpan w:val="2"/>
          </w:tcPr>
          <w:tbl>
            <w:tblPr>
              <w:tblW w:w="9020" w:type="dxa"/>
              <w:tblLayout w:type="fixed"/>
              <w:tblLook w:val="04A0" w:firstRow="1" w:lastRow="0" w:firstColumn="1" w:lastColumn="0" w:noHBand="0" w:noVBand="1"/>
            </w:tblPr>
            <w:tblGrid>
              <w:gridCol w:w="450"/>
              <w:gridCol w:w="8570"/>
            </w:tblGrid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 xml:space="preserve">Svaka od navedenih cjelina sadrži izbor tekstova (znanstvena literatura, popularno znanstveni </w:t>
                  </w:r>
                  <w:proofErr w:type="spellStart"/>
                  <w:r>
                    <w:t>tekstovi,poljski</w:t>
                  </w:r>
                  <w:proofErr w:type="spellEnd"/>
                  <w:r>
                    <w:t xml:space="preserve"> tisak, televizijske emisije), koji služe kao materija za prevođenje, proširivanje vokabulara, vježbe konsekutivnog prevođenja na hrvatski jezik, upotrebu </w:t>
                  </w:r>
                  <w:proofErr w:type="spellStart"/>
                  <w:r>
                    <w:t>novonaučenih</w:t>
                  </w:r>
                  <w:proofErr w:type="spellEnd"/>
                  <w:r>
                    <w:t xml:space="preserve"> fraza u razgovoru , debatu i </w:t>
                  </w:r>
                  <w:proofErr w:type="spellStart"/>
                  <w:r>
                    <w:t>dijalog.Rad</w:t>
                  </w:r>
                  <w:proofErr w:type="spellEnd"/>
                  <w:r>
                    <w:t xml:space="preserve"> na svakoj od navedenih cjelina traje 2 do 3 tjedna 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2.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Životinjski svijet – znanstvena i znanstveno popularna terminologija vezana uz životinjski svijet.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3.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Temelji poljskog jezičnog bontona, kulturni kontekst, promjene u suvremenom svijetu. Upotreba određenih formi u raznim komunikacijskim situacijama i raznim kulturnim kontekstima.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4.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Jezik mladih, najnovije promijene i tendencije u govornom jeziku, promjene vezane uz amerikanizaciju kulture i utjecaj medija na svakodnevni jezik i ponašanje.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5.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 xml:space="preserve">Jezik poslovnog </w:t>
                  </w:r>
                  <w:proofErr w:type="spellStart"/>
                  <w:r>
                    <w:t>svijeta:Državne</w:t>
                  </w:r>
                  <w:proofErr w:type="spellEnd"/>
                  <w:r>
                    <w:t xml:space="preserve"> institucije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6.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Bankovne operacije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7.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Ekonomska izvješća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8.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Osnivanje tvrtke. poslovanje tvrtke - poslovni plan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9.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Zdravlje: Hipokratova zakletva (usporedba teksta na poljskom i hrvatskom jeziku, etička načela, analiza jezika - arhaizmi).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lastRenderedPageBreak/>
                    <w:t>10.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Smijeh i plač (fiziološki i psihološki aspekti , upotreba idioma ).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11.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Opis simptoma bolesti – fiziološki aspekt i književni opis bolesti -</w:t>
                  </w:r>
                  <w:proofErr w:type="spellStart"/>
                  <w:r>
                    <w:t>Wewnątrz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góry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lodowej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J.Kapuściński</w:t>
                  </w:r>
                  <w:proofErr w:type="spellEnd"/>
                  <w:r>
                    <w:t xml:space="preserve"> .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12.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Psihologija - Fobije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13.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14.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tekst</w:t>
                  </w:r>
                </w:p>
              </w:tc>
            </w:tr>
            <w:tr w:rsidR="00E67328" w:rsidTr="009309D4">
              <w:tc>
                <w:tcPr>
                  <w:tcW w:w="450" w:type="dxa"/>
                  <w:tcMar>
                    <w:left w:w="0" w:type="dxa"/>
                  </w:tcMar>
                </w:tcPr>
                <w:p w:rsidR="00E67328" w:rsidRDefault="00E67328" w:rsidP="009309D4">
                  <w:pPr>
                    <w:jc w:val="right"/>
                  </w:pPr>
                  <w:r>
                    <w:t>15.</w:t>
                  </w:r>
                </w:p>
              </w:tc>
              <w:tc>
                <w:tcPr>
                  <w:tcW w:w="8569" w:type="dxa"/>
                </w:tcPr>
                <w:p w:rsidR="00E67328" w:rsidRDefault="00E67328" w:rsidP="009309D4">
                  <w:pPr>
                    <w:jc w:val="both"/>
                  </w:pPr>
                  <w:r>
                    <w:t>tekst</w:t>
                  </w:r>
                </w:p>
              </w:tc>
            </w:tr>
          </w:tbl>
          <w:p w:rsidR="00E67328" w:rsidRDefault="00E67328" w:rsidP="009309D4"/>
        </w:tc>
      </w:tr>
      <w:tr w:rsidR="00E67328" w:rsidTr="009309D4">
        <w:tc>
          <w:tcPr>
            <w:tcW w:w="2255" w:type="dxa"/>
          </w:tcPr>
          <w:p w:rsidR="00E67328" w:rsidRDefault="00E67328" w:rsidP="009309D4"/>
        </w:tc>
        <w:tc>
          <w:tcPr>
            <w:tcW w:w="6765" w:type="dxa"/>
          </w:tcPr>
          <w:p w:rsidR="00E67328" w:rsidRDefault="00E67328" w:rsidP="009309D4"/>
        </w:tc>
      </w:tr>
    </w:tbl>
    <w:p w:rsidR="00E67328" w:rsidRDefault="00E67328" w:rsidP="00E67328"/>
    <w:p w:rsidR="00E67328" w:rsidRDefault="00E67328" w:rsidP="00E67328">
      <w:r>
        <w:br w:type="page"/>
      </w:r>
    </w:p>
    <w:p w:rsidR="00086A05" w:rsidRDefault="00086A05">
      <w:bookmarkStart w:id="0" w:name="_GoBack"/>
      <w:bookmarkEnd w:id="0"/>
    </w:p>
    <w:sectPr w:rsidR="00086A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28"/>
    <w:rsid w:val="00086A05"/>
    <w:rsid w:val="00164429"/>
    <w:rsid w:val="00E6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6E4E4-5547-483D-9A38-F359A352A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7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3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73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2021-10-29T14:09:00Z</dcterms:created>
  <dcterms:modified xsi:type="dcterms:W3CDTF">2021-10-29T14:10:00Z</dcterms:modified>
</cp:coreProperties>
</file>