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84" w:rsidRDefault="00560484" w:rsidP="00560484">
      <w:pPr>
        <w:pStyle w:val="Heading2"/>
        <w:spacing w:after="800"/>
        <w:jc w:val="center"/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III i prevođenje poljskih književnih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560484" w:rsidTr="009309D4">
        <w:trPr>
          <w:trHeight w:hRule="exact" w:val="320"/>
        </w:trPr>
        <w:tc>
          <w:tcPr>
            <w:tcW w:w="2255" w:type="dxa"/>
          </w:tcPr>
          <w:bookmarkEnd w:id="0"/>
          <w:p w:rsidR="00560484" w:rsidRDefault="00560484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560484" w:rsidRDefault="00560484" w:rsidP="009309D4">
            <w:r>
              <w:t>Poljske jezične vježbe III i prevođenje poljskih književnih tekstova</w:t>
            </w:r>
          </w:p>
        </w:tc>
      </w:tr>
      <w:tr w:rsidR="00560484" w:rsidTr="009309D4">
        <w:trPr>
          <w:trHeight w:hRule="exact" w:val="320"/>
        </w:trPr>
        <w:tc>
          <w:tcPr>
            <w:tcW w:w="2255" w:type="dxa"/>
          </w:tcPr>
          <w:p w:rsidR="00560484" w:rsidRDefault="00560484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560484" w:rsidRDefault="00560484" w:rsidP="009309D4">
            <w:r>
              <w:t>Katedra za poljski jezik i književnost</w:t>
            </w:r>
          </w:p>
        </w:tc>
      </w:tr>
      <w:tr w:rsidR="00560484" w:rsidTr="009309D4">
        <w:trPr>
          <w:trHeight w:hRule="exact" w:val="320"/>
        </w:trPr>
        <w:tc>
          <w:tcPr>
            <w:tcW w:w="2255" w:type="dxa"/>
          </w:tcPr>
          <w:p w:rsidR="00560484" w:rsidRDefault="00560484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560484" w:rsidRDefault="00560484" w:rsidP="009309D4">
            <w:r>
              <w:t>5</w:t>
            </w:r>
          </w:p>
        </w:tc>
      </w:tr>
      <w:tr w:rsidR="00560484" w:rsidTr="009309D4">
        <w:trPr>
          <w:trHeight w:hRule="exact" w:val="320"/>
        </w:trPr>
        <w:tc>
          <w:tcPr>
            <w:tcW w:w="2255" w:type="dxa"/>
          </w:tcPr>
          <w:p w:rsidR="00560484" w:rsidRDefault="00560484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560484" w:rsidRDefault="00560484" w:rsidP="009309D4">
            <w:r>
              <w:t>184265</w:t>
            </w:r>
          </w:p>
        </w:tc>
      </w:tr>
      <w:tr w:rsidR="00560484" w:rsidTr="009309D4">
        <w:trPr>
          <w:trHeight w:hRule="exact" w:val="320"/>
        </w:trPr>
        <w:tc>
          <w:tcPr>
            <w:tcW w:w="2255" w:type="dxa"/>
          </w:tcPr>
          <w:p w:rsidR="00560484" w:rsidRDefault="00560484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560484" w:rsidRDefault="00560484" w:rsidP="009309D4">
            <w:r>
              <w:t>Zimski</w:t>
            </w:r>
          </w:p>
        </w:tc>
      </w:tr>
      <w:tr w:rsidR="00560484" w:rsidTr="009309D4">
        <w:tc>
          <w:tcPr>
            <w:tcW w:w="2255" w:type="dxa"/>
          </w:tcPr>
          <w:p w:rsidR="00560484" w:rsidRDefault="00560484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560484" w:rsidRDefault="00560484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560484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560484" w:rsidRDefault="00560484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560484" w:rsidRDefault="00560484" w:rsidP="009309D4">
                  <w:r>
                    <w:t>60</w:t>
                  </w:r>
                </w:p>
              </w:tc>
            </w:tr>
          </w:tbl>
          <w:p w:rsidR="00560484" w:rsidRDefault="00560484" w:rsidP="009309D4"/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>
            <w:r>
              <w:t>Za upis kolegija je potrebno položiti kolegij Poljske jezične vježbe II</w:t>
            </w:r>
          </w:p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>
            <w:pPr>
              <w:jc w:val="both"/>
            </w:pPr>
            <w:r>
              <w:t>Praktično učenje poljskog jezika na razini C1 prema pravilima certifikacije poljskog jezika. Cilj nastave je stjecanje sposobnosti pripreme izlaganja i rasprave na zadane teme, kao i teme vezane uz različita područja vezana uz poljsku kulturu i razne sfere društvenog života, sposobnost prevođenja tekstova koji sadrže specifičnu terminologiju raznih područja kao i umjetničkih tekstova, osnove konsekutivnog prevođenja, prepoznavanje različitih stilističkih strategija i funkcionalnih stilova.</w:t>
            </w:r>
          </w:p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>
            <w:pPr>
              <w:jc w:val="both"/>
            </w:pPr>
            <w:r>
              <w:t xml:space="preserve">Studenti pripremaju izlaganja i rasprave na zadane teme, kao i teme vezane uz različita područja vezana uz poljsku kulturu i razne sfere društvenog života. Uče prevoditi tekstove koje sadrže specifičnu terminologiju raznih područja te vježbaju konsekutivno prevođenje, uče prepoznavati različite stilističke strategije i funkcionalne stilove. </w:t>
            </w:r>
          </w:p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>
            <w:pPr>
              <w:jc w:val="both"/>
            </w:pPr>
            <w:r>
              <w:t xml:space="preserve">Tijekom semestra studenti pišu nekoliko pismenih radova, usmeno odgovaraju prepričavanje i razgovor na obrađene teme uz posebnu provjeru praktične primjene novog vokabulara i fraza, te pišu dva kolokvija. Nastava završava ispitom pismenim i usmenim koji provjerava znanje prema propisanim </w:t>
            </w:r>
            <w:proofErr w:type="spellStart"/>
            <w:r>
              <w:t>uvijetima</w:t>
            </w:r>
            <w:proofErr w:type="spellEnd"/>
            <w:r>
              <w:t xml:space="preserve"> međunarodne certifikacije na nivou C1.</w:t>
            </w:r>
          </w:p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/>
        </w:tc>
      </w:tr>
      <w:tr w:rsidR="00560484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analizirati i raščlanjivati strukturu različitih vrsta tekstova na poljskom jeziku te objasniti njihovu pragmatičku funkciju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ispravno koristiti sve gramatičke oblike poljskog jezika u pismenom i usmenom izražavanju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razumjeti sadržaj i intenciju svih vrsta napisanih ili izgovorenih tekstova na poljskom jeziku neovisno o tome radi li se o izravnom, indirektnom, aluzivnom, ironičnom ili šaljivom tipu teksta</w:t>
                  </w:r>
                </w:p>
              </w:tc>
            </w:tr>
          </w:tbl>
          <w:p w:rsidR="00560484" w:rsidRDefault="00560484" w:rsidP="009309D4"/>
        </w:tc>
      </w:tr>
      <w:tr w:rsidR="00560484" w:rsidTr="009309D4">
        <w:tc>
          <w:tcPr>
            <w:tcW w:w="2255" w:type="dxa"/>
            <w:tcMar>
              <w:top w:w="160" w:type="dxa"/>
            </w:tcMar>
          </w:tcPr>
          <w:p w:rsidR="00560484" w:rsidRDefault="00560484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560484" w:rsidRDefault="00560484" w:rsidP="009309D4"/>
        </w:tc>
      </w:tr>
      <w:tr w:rsidR="00560484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 xml:space="preserve">Raspored po tjednima (svaka od navedenih cjelina predviđena je za 6 nastavnih sati. Svaka od navedenih cjelina sadrži izbor tekstova (znanstvena </w:t>
                  </w:r>
                  <w:proofErr w:type="spellStart"/>
                  <w:r>
                    <w:t>literatura,dokumenti</w:t>
                  </w:r>
                  <w:proofErr w:type="spellEnd"/>
                  <w:r>
                    <w:t xml:space="preserve">, popularno znanstveni </w:t>
                  </w:r>
                  <w:proofErr w:type="spellStart"/>
                  <w:r>
                    <w:t>tekstovi,poljski</w:t>
                  </w:r>
                  <w:proofErr w:type="spellEnd"/>
                  <w:r>
                    <w:t xml:space="preserve"> tisak, televizijske emisije), koji služe kao materija za prevođenje, proširivanje vokabulara, vježbe konsekutivnog prevođenja na hrvatski jezik, upotrebu novo naučenih fraza u razgovoru.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Recenzija – struktura teksta, terminologija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 xml:space="preserve">Reportaža – tipovi, jezik, najpoznatiji poljski suvremeni autori. Televizijska </w:t>
                  </w:r>
                  <w:proofErr w:type="spellStart"/>
                  <w:r>
                    <w:t>raportaža</w:t>
                  </w:r>
                  <w:proofErr w:type="spellEnd"/>
                  <w:r>
                    <w:t>.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Pravna terminologija (Kazneni zakon – osnovni termini i fraze, izrada malog rječnika pravnih termina)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Ugovor o radu i drugi slični dokumenti – prevođenje i interpretacija pojedinih odredbi.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Televizijske vijesti (informacijski prilog, prognoza).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 xml:space="preserve">Turistički vodič – terminologija, struktura, fraze (nacionalni </w:t>
                  </w:r>
                  <w:proofErr w:type="spellStart"/>
                  <w:r>
                    <w:t>specjaliteti</w:t>
                  </w:r>
                  <w:proofErr w:type="spellEnd"/>
                  <w:r>
                    <w:t xml:space="preserve"> – prevoditeljske zamke).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 xml:space="preserve">Seminar –Prevođenje poljskih književnih </w:t>
                  </w:r>
                  <w:proofErr w:type="spellStart"/>
                  <w:r>
                    <w:t>tekstovaStudenti</w:t>
                  </w:r>
                  <w:proofErr w:type="spellEnd"/>
                  <w:r>
                    <w:t xml:space="preserve"> tijekom nastave prevode na hrvatski jezik posebno odabrane odlomke djela poljskih suvremenih pisaca .Seminar predviđa diskusiju o mogućim rješenjima i o mogućnosti izbora različitih prevoditeljskih strategija prikladnih za određeni tekst. Zatim svaki od studenata priprema svoj prijedlog </w:t>
                  </w:r>
                  <w:proofErr w:type="spellStart"/>
                  <w:r>
                    <w:t>prijevoda.Autori</w:t>
                  </w:r>
                  <w:proofErr w:type="spellEnd"/>
                  <w:r>
                    <w:t xml:space="preserve"> odabranih tekstova :1.Czesław Miłosz,2.Andrzej Stasiuk,3.Jacek.Hugo-Bader4.Wojciech Kuczok5.Mariusz Sieniewicz6.Paweł </w:t>
                  </w:r>
                  <w:proofErr w:type="spellStart"/>
                  <w:r>
                    <w:t>Huelle</w:t>
                  </w:r>
                  <w:proofErr w:type="spellEnd"/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560484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560484" w:rsidRDefault="00560484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560484" w:rsidRDefault="00560484" w:rsidP="009309D4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560484" w:rsidRDefault="00560484" w:rsidP="009309D4"/>
        </w:tc>
      </w:tr>
      <w:tr w:rsidR="00560484" w:rsidTr="009309D4">
        <w:tc>
          <w:tcPr>
            <w:tcW w:w="2255" w:type="dxa"/>
          </w:tcPr>
          <w:p w:rsidR="00560484" w:rsidRDefault="00560484" w:rsidP="009309D4"/>
        </w:tc>
        <w:tc>
          <w:tcPr>
            <w:tcW w:w="6765" w:type="dxa"/>
          </w:tcPr>
          <w:p w:rsidR="00560484" w:rsidRDefault="00560484" w:rsidP="009309D4"/>
        </w:tc>
      </w:tr>
    </w:tbl>
    <w:p w:rsidR="00560484" w:rsidRDefault="00560484" w:rsidP="00560484"/>
    <w:p w:rsidR="00560484" w:rsidRDefault="00560484" w:rsidP="00560484">
      <w:r>
        <w:br w:type="page"/>
      </w:r>
    </w:p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4"/>
    <w:rsid w:val="00086A05"/>
    <w:rsid w:val="00164429"/>
    <w:rsid w:val="005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0646-A641-4EF3-A2C7-1150E81C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4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2021-10-29T14:12:00Z</dcterms:created>
  <dcterms:modified xsi:type="dcterms:W3CDTF">2021-10-29T14:12:00Z</dcterms:modified>
</cp:coreProperties>
</file>