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4E" w:rsidRDefault="00DC5C4E" w:rsidP="00DC5C4E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C5C4E" w:rsidTr="009309D4">
        <w:trPr>
          <w:trHeight w:hRule="exact" w:val="320"/>
        </w:trPr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C5C4E" w:rsidRDefault="00DC5C4E" w:rsidP="009309D4">
            <w:r>
              <w:t>Poljske jezične vježbe III</w:t>
            </w:r>
          </w:p>
        </w:tc>
      </w:tr>
      <w:tr w:rsidR="00DC5C4E" w:rsidTr="009309D4">
        <w:trPr>
          <w:trHeight w:hRule="exact" w:val="320"/>
        </w:trPr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C5C4E" w:rsidRDefault="00DC5C4E" w:rsidP="009309D4">
            <w:r>
              <w:t>Katedra za poljski jezik i književnost</w:t>
            </w:r>
          </w:p>
        </w:tc>
      </w:tr>
      <w:tr w:rsidR="00DC5C4E" w:rsidTr="009309D4">
        <w:trPr>
          <w:trHeight w:hRule="exact" w:val="320"/>
        </w:trPr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C5C4E" w:rsidRDefault="00DC5C4E" w:rsidP="009309D4">
            <w:r>
              <w:t>6</w:t>
            </w:r>
          </w:p>
        </w:tc>
      </w:tr>
      <w:tr w:rsidR="00DC5C4E" w:rsidTr="009309D4">
        <w:trPr>
          <w:trHeight w:hRule="exact" w:val="320"/>
        </w:trPr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C5C4E" w:rsidRDefault="00DC5C4E" w:rsidP="009309D4">
            <w:r>
              <w:t>184264</w:t>
            </w:r>
          </w:p>
        </w:tc>
      </w:tr>
      <w:tr w:rsidR="00DC5C4E" w:rsidTr="009309D4">
        <w:trPr>
          <w:trHeight w:hRule="exact" w:val="320"/>
        </w:trPr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C5C4E" w:rsidRDefault="00DC5C4E" w:rsidP="009309D4">
            <w:r>
              <w:t>Zimski</w:t>
            </w:r>
          </w:p>
        </w:tc>
      </w:tr>
      <w:tr w:rsidR="00DC5C4E" w:rsidTr="009309D4">
        <w:tc>
          <w:tcPr>
            <w:tcW w:w="2255" w:type="dxa"/>
          </w:tcPr>
          <w:p w:rsidR="00DC5C4E" w:rsidRDefault="00DC5C4E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C5C4E" w:rsidRDefault="00DC5C4E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C5C4E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DC5C4E" w:rsidRDefault="00DC5C4E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DC5C4E" w:rsidRDefault="00DC5C4E" w:rsidP="009309D4">
                  <w:r>
                    <w:t>90</w:t>
                  </w:r>
                </w:p>
              </w:tc>
            </w:tr>
          </w:tbl>
          <w:p w:rsidR="00DC5C4E" w:rsidRDefault="00DC5C4E" w:rsidP="009309D4"/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>
            <w:r>
              <w:t>Za upis kolegija je potrebno položiti kolegij Poljske jezične vježbe II</w:t>
            </w:r>
          </w:p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>
            <w:pPr>
              <w:jc w:val="both"/>
            </w:pPr>
            <w:r>
              <w:t>Stjecanje jezičnih komunikacijskih kompetencija na poljskome jeziku na razini A2/B1 prema Zajedničkom europskom referentnom okviru za jezike Vijeća Europe.</w:t>
            </w:r>
          </w:p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>
            <w:pPr>
              <w:jc w:val="both"/>
            </w:pPr>
            <w:r>
              <w:t>Usmeno predstavljanje nastavnog materijala, korištenje priručnika, korištenje audio i vizualnih materijala. Nastava je bazirana prije svega na konverzacijama (rad u paru, grupni rad) i drugim aktivnim oblicima vježbi. Tijekom semestra studenti čitaju zadanu literaturu (kratke forme), redovito pripremaju kraća usmena izlaganja, rješavaju zadatke iz gramatike, pišu diktate i kratke sastave. Radi se na razvijanju svih jezičnih kompetencija: razumijevanje pisanog teksta, razumijevanje govorenog teksta, gramatička i ortografska ispravnost, govor, pisanje.</w:t>
            </w:r>
          </w:p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>
            <w:pPr>
              <w:jc w:val="both"/>
            </w:pPr>
            <w:r>
              <w:t xml:space="preserve">Pismeni ispit;  Uvjeti za pristupanje završnom ispitu: 1. redovito pohađanje nastave te aktivno sudjelovanje u nastavi, 2. redovito izvršavanje pismenih i usmenih zadataka, 3. položena tri kolokvija tijekom semestra. </w:t>
            </w:r>
          </w:p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/>
        </w:tc>
      </w:tr>
      <w:tr w:rsidR="00DC5C4E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opisati različite situacije važne za neometanu komunikaciju i istodobno intervjuirati sugovornike na poljskom jeziku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</w:tbl>
          <w:p w:rsidR="00DC5C4E" w:rsidRDefault="00DC5C4E" w:rsidP="009309D4"/>
        </w:tc>
      </w:tr>
      <w:tr w:rsidR="00DC5C4E" w:rsidTr="009309D4">
        <w:tc>
          <w:tcPr>
            <w:tcW w:w="2255" w:type="dxa"/>
            <w:tcMar>
              <w:top w:w="160" w:type="dxa"/>
            </w:tcMar>
          </w:tcPr>
          <w:p w:rsidR="00DC5C4E" w:rsidRDefault="00DC5C4E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C5C4E" w:rsidRDefault="00DC5C4E" w:rsidP="009309D4"/>
        </w:tc>
      </w:tr>
      <w:tr w:rsidR="00DC5C4E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 xml:space="preserve">Nominativ množine </w:t>
                  </w:r>
                  <w:proofErr w:type="spellStart"/>
                  <w:r>
                    <w:t>muškoosobnih</w:t>
                  </w:r>
                  <w:proofErr w:type="spellEnd"/>
                  <w:r>
                    <w:t xml:space="preserve"> imenica i pridjeva. Osobnost: karakterne osobine, izražavanje mišljenja o bliskim i javnim osobama, uspoređivanje.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Perfekt. Opisivanje situacija i događaja u prošlom vremenu. Čitanje i pisanje glavnih i rednih brojeva, navođenje datuma. Leksik vezan uz razdoblja čovjekova života od rođenja do smrti.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 xml:space="preserve">Upotreba instrumentala u rečenici. Obiteljski odnosi. Izražavanje uvjerenja, želja, molbi i očekivanja – rečenice s veznicima </w:t>
                  </w:r>
                  <w:proofErr w:type="spellStart"/>
                  <w:r>
                    <w:t>że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żeby</w:t>
                  </w:r>
                  <w:proofErr w:type="spellEnd"/>
                  <w:r>
                    <w:t xml:space="preserve"> i glagol </w:t>
                  </w:r>
                  <w:proofErr w:type="spellStart"/>
                  <w:r>
                    <w:t>powinien</w:t>
                  </w:r>
                  <w:proofErr w:type="spellEnd"/>
                  <w:r>
                    <w:t>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 xml:space="preserve">Nominativ množine </w:t>
                  </w:r>
                  <w:proofErr w:type="spellStart"/>
                  <w:r>
                    <w:t>nemuškoosobnih</w:t>
                  </w:r>
                  <w:proofErr w:type="spellEnd"/>
                  <w:r>
                    <w:t xml:space="preserve"> imenica i pridjeva. Nazivi prostorija u kući, namještaja i uređaja. Glagolske imenice. Kućanski poslovi i namjena predmeta iz najbližeg okruženja.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Sadašnje vrijeme. Dnevna rutina: svakodnevne radnje kod kuće, na fakultetu i prilikom korištenja prijevoznih sredstava. Uvod u glagole kretanja.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Akuzativ – tvorba i upotreba u rečenici. Stupnjevanje pridjeva. Izgled, odijevanje i moda.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Osobne zamjenice u akuzativu. Posao: zanimanja, traženje posla i radni uvjeti. Izražavanje mišljenja o poslu, zadovoljstva i nezadovoljstva.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Sadašnje vrijeme – ponavljanje i proširivanje. Godišnja doba i vremenske prilike. Sati u razgovornom jeziku.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Ponavljanje i kolokvij.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Lokativ – tvorba i upotreba u rečenici. Život u gradu: arhitektura, institucije, trgovine, zabava. Opisivanje prostornih odnosa.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Dativ – tvorba i upotreba u rečenici. Prijateljstvo i osobni odnosi. Opisivanje unutarnjih stanja i odnosa s drugim ljudima, izražavanje simpatije i antipatije.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Kako se osjećamo? – opisivanje raspoloženja, zdravstvenog stanja i životnog stila. Molba za savjet i davanje savjeta.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Tvorba i upotreba zapovjednog načina. Leksik vezan uz posjet liječniku. Prepričavanje lektire.</w:t>
                  </w:r>
                </w:p>
              </w:tc>
            </w:tr>
            <w:tr w:rsidR="00DC5C4E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C5C4E" w:rsidRDefault="00DC5C4E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C5C4E" w:rsidRDefault="00DC5C4E" w:rsidP="009309D4">
                  <w:pPr>
                    <w:jc w:val="both"/>
                  </w:pPr>
                  <w:r>
                    <w:t>Ponavljanje i kolokvij</w:t>
                  </w:r>
                </w:p>
              </w:tc>
            </w:tr>
          </w:tbl>
          <w:p w:rsidR="00DC5C4E" w:rsidRDefault="00DC5C4E" w:rsidP="009309D4"/>
        </w:tc>
      </w:tr>
      <w:tr w:rsidR="00DC5C4E" w:rsidTr="009309D4">
        <w:tc>
          <w:tcPr>
            <w:tcW w:w="2255" w:type="dxa"/>
          </w:tcPr>
          <w:p w:rsidR="00DC5C4E" w:rsidRDefault="00DC5C4E" w:rsidP="009309D4"/>
        </w:tc>
        <w:tc>
          <w:tcPr>
            <w:tcW w:w="6765" w:type="dxa"/>
          </w:tcPr>
          <w:p w:rsidR="00DC5C4E" w:rsidRDefault="00DC5C4E" w:rsidP="009309D4"/>
        </w:tc>
      </w:tr>
    </w:tbl>
    <w:p w:rsidR="00DC5C4E" w:rsidRDefault="00DC5C4E" w:rsidP="00DC5C4E"/>
    <w:p w:rsidR="00DC5C4E" w:rsidRDefault="00DC5C4E" w:rsidP="00DC5C4E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4E"/>
    <w:rsid w:val="00086A05"/>
    <w:rsid w:val="00164429"/>
    <w:rsid w:val="00D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F178-97AB-4340-A06A-1B210B0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C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2021-10-29T14:11:00Z</dcterms:created>
  <dcterms:modified xsi:type="dcterms:W3CDTF">2021-10-29T14:11:00Z</dcterms:modified>
</cp:coreProperties>
</file>