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09" w:rsidRDefault="00432109" w:rsidP="00432109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Poljske jezične vježbe IV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432109" w:rsidTr="009309D4">
        <w:trPr>
          <w:trHeight w:hRule="exact" w:val="320"/>
        </w:trPr>
        <w:tc>
          <w:tcPr>
            <w:tcW w:w="2255" w:type="dxa"/>
          </w:tcPr>
          <w:p w:rsidR="00432109" w:rsidRDefault="00432109" w:rsidP="009309D4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432109" w:rsidRDefault="00432109" w:rsidP="009309D4">
            <w:r>
              <w:t>Poljske jezične vježbe IV</w:t>
            </w:r>
          </w:p>
        </w:tc>
      </w:tr>
      <w:tr w:rsidR="00432109" w:rsidTr="009309D4">
        <w:trPr>
          <w:trHeight w:hRule="exact" w:val="320"/>
        </w:trPr>
        <w:tc>
          <w:tcPr>
            <w:tcW w:w="2255" w:type="dxa"/>
          </w:tcPr>
          <w:p w:rsidR="00432109" w:rsidRDefault="00432109" w:rsidP="009309D4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432109" w:rsidRDefault="00432109" w:rsidP="009309D4">
            <w:r>
              <w:t>Katedra za poljski jezik i književnost</w:t>
            </w:r>
          </w:p>
        </w:tc>
      </w:tr>
      <w:tr w:rsidR="00432109" w:rsidTr="009309D4">
        <w:trPr>
          <w:trHeight w:hRule="exact" w:val="320"/>
        </w:trPr>
        <w:tc>
          <w:tcPr>
            <w:tcW w:w="2255" w:type="dxa"/>
          </w:tcPr>
          <w:p w:rsidR="00432109" w:rsidRDefault="00432109" w:rsidP="009309D4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432109" w:rsidRDefault="00432109" w:rsidP="009309D4">
            <w:r>
              <w:t>6</w:t>
            </w:r>
          </w:p>
        </w:tc>
      </w:tr>
      <w:tr w:rsidR="00432109" w:rsidTr="009309D4">
        <w:trPr>
          <w:trHeight w:hRule="exact" w:val="320"/>
        </w:trPr>
        <w:tc>
          <w:tcPr>
            <w:tcW w:w="2255" w:type="dxa"/>
          </w:tcPr>
          <w:p w:rsidR="00432109" w:rsidRDefault="00432109" w:rsidP="009309D4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432109" w:rsidRDefault="00432109" w:rsidP="009309D4">
            <w:r>
              <w:t>51443</w:t>
            </w:r>
          </w:p>
        </w:tc>
      </w:tr>
      <w:tr w:rsidR="00432109" w:rsidTr="009309D4">
        <w:trPr>
          <w:trHeight w:hRule="exact" w:val="320"/>
        </w:trPr>
        <w:tc>
          <w:tcPr>
            <w:tcW w:w="2255" w:type="dxa"/>
          </w:tcPr>
          <w:p w:rsidR="00432109" w:rsidRDefault="00432109" w:rsidP="009309D4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432109" w:rsidRDefault="00432109" w:rsidP="009309D4">
            <w:r>
              <w:t>Ljetni</w:t>
            </w:r>
          </w:p>
        </w:tc>
      </w:tr>
      <w:tr w:rsidR="00432109" w:rsidTr="009309D4">
        <w:tc>
          <w:tcPr>
            <w:tcW w:w="2255" w:type="dxa"/>
          </w:tcPr>
          <w:p w:rsidR="00432109" w:rsidRDefault="00432109" w:rsidP="009309D4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432109" w:rsidRDefault="00432109" w:rsidP="009309D4">
            <w:r>
              <w:t xml:space="preserve">Ivana </w:t>
            </w:r>
            <w:proofErr w:type="spellStart"/>
            <w:r>
              <w:t>Maslač</w:t>
            </w:r>
            <w:proofErr w:type="spellEnd"/>
            <w:r>
              <w:t xml:space="preserve">, v. </w:t>
            </w:r>
            <w:proofErr w:type="spellStart"/>
            <w:r>
              <w:t>lekt</w:t>
            </w:r>
            <w:proofErr w:type="spellEnd"/>
            <w:r>
              <w:t>. (nositelj)</w:t>
            </w:r>
          </w:p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432109" w:rsidTr="009309D4">
              <w:tc>
                <w:tcPr>
                  <w:tcW w:w="2310" w:type="dxa"/>
                  <w:tcMar>
                    <w:left w:w="0" w:type="dxa"/>
                  </w:tcMar>
                </w:tcPr>
                <w:p w:rsidR="00432109" w:rsidRDefault="00432109" w:rsidP="009309D4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432109" w:rsidRDefault="00432109" w:rsidP="009309D4">
                  <w:r>
                    <w:t>90</w:t>
                  </w:r>
                </w:p>
              </w:tc>
            </w:tr>
          </w:tbl>
          <w:p w:rsidR="00432109" w:rsidRDefault="00432109" w:rsidP="009309D4"/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432109" w:rsidRDefault="00432109" w:rsidP="009309D4">
            <w:r>
              <w:t>Za upis kolegija je potrebno položiti kolegij Poljske jezične vježbe III</w:t>
            </w:r>
          </w:p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432109" w:rsidRDefault="00432109" w:rsidP="009309D4">
            <w:pPr>
              <w:jc w:val="both"/>
            </w:pPr>
            <w:r>
              <w:t>Stjecanje jezičnih komunikacijskih kompetencija na poljskome jeziku na razini B1 prema Zajedničkom europskom referentnom okviru za jezike Vijeća Europe.</w:t>
            </w:r>
          </w:p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432109" w:rsidRDefault="00432109" w:rsidP="009309D4">
            <w:pPr>
              <w:jc w:val="both"/>
            </w:pPr>
            <w:r>
              <w:t xml:space="preserve">Usmeno predstavljanje nastavnog materijala, korištenje priručnika, korištenje audio i vizualnih materijala. Nastava je bazirana prije svega na konverzacijama (rad u paru, grupni rad) i drugim aktivnim oblicima vježbi. Tijekom semestra studenti čitaju zadanu literaturu (kratke forme), redovito pripremaju kraća usmena izlaganja, rješavaju zadatke iz gramatike, pišu diktate i kratke sastave. Radi se na razvijanju svih jezičnih kompetencija: razumijevanje pisanog teksta, razumijevanje govorenog teksta, gramatička i ortografska ispravnost, govor, pisanje. </w:t>
            </w:r>
            <w:r>
              <w:br/>
            </w:r>
          </w:p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432109" w:rsidRDefault="00432109" w:rsidP="009309D4">
            <w:pPr>
              <w:jc w:val="both"/>
            </w:pPr>
            <w:r>
              <w:t>Završni ispit sastoji se od pismenog dijela, koji obuhvaća gramatičko gradivo, i usmenog dijela, kojim se provjerava sposobnost komunikacije u svakodnevnim situacijama.</w:t>
            </w:r>
            <w:r>
              <w:br/>
            </w:r>
            <w:r>
              <w:br/>
              <w:t>Uvjeti za pristupanje završnom ispitu:</w:t>
            </w:r>
            <w:r>
              <w:br/>
              <w:t>- redovito pohađanje nastave,</w:t>
            </w:r>
            <w:r>
              <w:br/>
              <w:t>- redovito izvršavanje pismenih i usmenih zadataka,</w:t>
            </w:r>
            <w:r>
              <w:br/>
              <w:t>- 50% pozitivno ocijenjenih diktata,</w:t>
            </w:r>
            <w:r>
              <w:br/>
              <w:t>- 3 položena kolokvija tijekom semestra.</w:t>
            </w:r>
            <w:r>
              <w:br/>
            </w:r>
          </w:p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432109" w:rsidRDefault="00432109" w:rsidP="009309D4"/>
        </w:tc>
      </w:tr>
      <w:tr w:rsidR="00432109" w:rsidTr="009309D4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razumjeti pisani i govoreni tekst, interpretirati pročitani i odslušani sadržaj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opisati različite situacije važne za neometanu komunikaciju i istodobno intervjuirati sugovornike na poljskom jeziku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uočiti vlastite jezične (govorene i pisane) nesigurnosti i stvoriti uvjete za njihovo uklanjanje</w:t>
                  </w:r>
                </w:p>
              </w:tc>
            </w:tr>
          </w:tbl>
          <w:p w:rsidR="00432109" w:rsidRDefault="00432109" w:rsidP="009309D4"/>
        </w:tc>
      </w:tr>
      <w:tr w:rsidR="00432109" w:rsidTr="009309D4">
        <w:tc>
          <w:tcPr>
            <w:tcW w:w="2255" w:type="dxa"/>
            <w:tcMar>
              <w:top w:w="160" w:type="dxa"/>
            </w:tcMar>
          </w:tcPr>
          <w:p w:rsidR="00432109" w:rsidRDefault="00432109" w:rsidP="009309D4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432109" w:rsidRDefault="00432109" w:rsidP="009309D4"/>
        </w:tc>
      </w:tr>
      <w:tr w:rsidR="00432109" w:rsidTr="009309D4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Futur nesvršenih i svršenih glagola. Planovi za budućnost, opisivanje situacija i događaja u budućnosti. Izražavanje nade, zabrinutosti, bojazni.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Stupnjevanje priloga i upotreba komparativa i superlativa priloga u rečenici. Leksik vezan uz prirodu i život na selu. Izražavanje preferencija i obrazlaganje odluka.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 xml:space="preserve">Upotreba naglašenih i nenaglašenih oblika osobnih zamjenica u rečenici.  Ortografija: Poljsko </w:t>
                  </w:r>
                  <w:proofErr w:type="spellStart"/>
                  <w:r>
                    <w:t>rz</w:t>
                  </w:r>
                  <w:proofErr w:type="spellEnd"/>
                  <w:r>
                    <w:t xml:space="preserve"> ili ż? Prepričavanje zadanog teksta.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Genitiv imenica i pridjeva – tvorba i upotreba u rečenici. Poljska kuhinja –tradicionalna jela, recepti. Opisivanje prehrambenih navika.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Ponavljanje i kolokvij.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Aspekt glagola – tvorba svršenih glagola u poljskome jeziku. Uslužne djelatnosti – vrste usluga, izražavanje zadovoljstva i nezadovoljstva, žalbe i reklamacije.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Niječne rečenice s imperativom. Institucije, dokumenti, obavljanje formalnosti. Iskazivanje nužnosti, molba za dopuštenje.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Vokativ. Vjerski i državni blagdani, obiteljske svečanosti i obljetnice. Čestitanje, izražavanje radosti, žaljenja, tuge i suosjećanja. Prepričavanje zadanog teksta.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 xml:space="preserve">Pogodbeni način. Izražavanje pretpostavke, uvjeta, želje. Ortografija: Sastavljeno i rastavljeno pisanje oblika </w:t>
                  </w:r>
                  <w:proofErr w:type="spellStart"/>
                  <w:r>
                    <w:t>bym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byś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byśmy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byście</w:t>
                  </w:r>
                  <w:proofErr w:type="spellEnd"/>
                  <w:r>
                    <w:t>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Ponavljanje i kolokvij.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Deklinacija brojeva od 2 do 4. Obrazovanje – leksik vezan uz školu i studij. Obrazovni sustav u Poljskoj. Ortografija: Poljsko ó ili u?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Glagoli kretanja. Putovanja i turizam. Nazivi država, gradova i njihovih stanovnika. Prepričavanje zadanog teksta.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Bez straha na ispit! – Vrste ispita, pripreme za ispit, stilovi učenja. Započinjanje i završavanje razgovora, podržavanje kontakta, uvjeravanje.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Glagolski pridjevi i prilozi – Tvorba i upotreba u rečenici. Poljaci u inozemstvu i stranci u Poljskoj.</w:t>
                  </w:r>
                </w:p>
              </w:tc>
            </w:tr>
            <w:tr w:rsidR="00432109" w:rsidTr="009309D4">
              <w:tc>
                <w:tcPr>
                  <w:tcW w:w="450" w:type="dxa"/>
                  <w:tcMar>
                    <w:left w:w="0" w:type="dxa"/>
                  </w:tcMar>
                </w:tcPr>
                <w:p w:rsidR="00432109" w:rsidRDefault="00432109" w:rsidP="009309D4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432109" w:rsidRDefault="00432109" w:rsidP="009309D4">
                  <w:pPr>
                    <w:jc w:val="both"/>
                  </w:pPr>
                  <w:r>
                    <w:t>Ponavljanje i kolokvij.</w:t>
                  </w:r>
                </w:p>
              </w:tc>
            </w:tr>
          </w:tbl>
          <w:p w:rsidR="00432109" w:rsidRDefault="00432109" w:rsidP="009309D4"/>
        </w:tc>
      </w:tr>
      <w:tr w:rsidR="00432109" w:rsidTr="009309D4">
        <w:tc>
          <w:tcPr>
            <w:tcW w:w="2255" w:type="dxa"/>
          </w:tcPr>
          <w:p w:rsidR="00432109" w:rsidRDefault="00432109" w:rsidP="009309D4"/>
        </w:tc>
        <w:tc>
          <w:tcPr>
            <w:tcW w:w="6765" w:type="dxa"/>
          </w:tcPr>
          <w:p w:rsidR="00432109" w:rsidRDefault="00432109" w:rsidP="009309D4"/>
        </w:tc>
      </w:tr>
    </w:tbl>
    <w:p w:rsidR="00432109" w:rsidRDefault="00432109" w:rsidP="00432109"/>
    <w:p w:rsidR="00086A05" w:rsidRDefault="00086A05">
      <w:bookmarkStart w:id="0" w:name="_GoBack"/>
      <w:bookmarkEnd w:id="0"/>
    </w:p>
    <w:sectPr w:rsidR="00086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09"/>
    <w:rsid w:val="00086A05"/>
    <w:rsid w:val="00164429"/>
    <w:rsid w:val="0043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B844D-4B23-4356-89DF-D51B18A1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21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2021-10-29T14:12:00Z</dcterms:created>
  <dcterms:modified xsi:type="dcterms:W3CDTF">2021-10-29T14:12:00Z</dcterms:modified>
</cp:coreProperties>
</file>