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A1" w:rsidRDefault="00153DA1" w:rsidP="00153DA1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V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153DA1" w:rsidTr="009309D4">
        <w:trPr>
          <w:trHeight w:hRule="exact" w:val="320"/>
        </w:trPr>
        <w:tc>
          <w:tcPr>
            <w:tcW w:w="2255" w:type="dxa"/>
          </w:tcPr>
          <w:p w:rsidR="00153DA1" w:rsidRDefault="00153DA1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153DA1" w:rsidRDefault="00153DA1" w:rsidP="009309D4">
            <w:r>
              <w:t>Poljske jezične vježbe V</w:t>
            </w:r>
          </w:p>
        </w:tc>
      </w:tr>
      <w:tr w:rsidR="00153DA1" w:rsidTr="009309D4">
        <w:trPr>
          <w:trHeight w:hRule="exact" w:val="320"/>
        </w:trPr>
        <w:tc>
          <w:tcPr>
            <w:tcW w:w="2255" w:type="dxa"/>
          </w:tcPr>
          <w:p w:rsidR="00153DA1" w:rsidRDefault="00153DA1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153DA1" w:rsidRDefault="00153DA1" w:rsidP="009309D4">
            <w:r>
              <w:t>Katedra za poljski jezik i književnost</w:t>
            </w:r>
          </w:p>
        </w:tc>
      </w:tr>
      <w:tr w:rsidR="00153DA1" w:rsidTr="009309D4">
        <w:trPr>
          <w:trHeight w:hRule="exact" w:val="320"/>
        </w:trPr>
        <w:tc>
          <w:tcPr>
            <w:tcW w:w="2255" w:type="dxa"/>
          </w:tcPr>
          <w:p w:rsidR="00153DA1" w:rsidRDefault="00153DA1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153DA1" w:rsidRDefault="00153DA1" w:rsidP="009309D4">
            <w:r>
              <w:t>6</w:t>
            </w:r>
          </w:p>
        </w:tc>
      </w:tr>
      <w:tr w:rsidR="00153DA1" w:rsidTr="009309D4">
        <w:trPr>
          <w:trHeight w:hRule="exact" w:val="320"/>
        </w:trPr>
        <w:tc>
          <w:tcPr>
            <w:tcW w:w="2255" w:type="dxa"/>
          </w:tcPr>
          <w:p w:rsidR="00153DA1" w:rsidRDefault="00153DA1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153DA1" w:rsidRDefault="00153DA1" w:rsidP="009309D4">
            <w:r>
              <w:t>184266</w:t>
            </w:r>
          </w:p>
        </w:tc>
      </w:tr>
      <w:tr w:rsidR="00153DA1" w:rsidTr="009309D4">
        <w:trPr>
          <w:trHeight w:hRule="exact" w:val="320"/>
        </w:trPr>
        <w:tc>
          <w:tcPr>
            <w:tcW w:w="2255" w:type="dxa"/>
          </w:tcPr>
          <w:p w:rsidR="00153DA1" w:rsidRDefault="00153DA1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153DA1" w:rsidRDefault="00153DA1" w:rsidP="009309D4">
            <w:r>
              <w:t>Zimski</w:t>
            </w:r>
          </w:p>
        </w:tc>
      </w:tr>
      <w:tr w:rsidR="00153DA1" w:rsidTr="009309D4">
        <w:tc>
          <w:tcPr>
            <w:tcW w:w="2255" w:type="dxa"/>
          </w:tcPr>
          <w:p w:rsidR="00153DA1" w:rsidRDefault="00153DA1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153DA1" w:rsidRDefault="00153DA1" w:rsidP="009309D4">
            <w:r>
              <w:t xml:space="preserve">Ivana </w:t>
            </w:r>
            <w:proofErr w:type="spellStart"/>
            <w:r>
              <w:t>Maslač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153DA1" w:rsidTr="009309D4">
        <w:tc>
          <w:tcPr>
            <w:tcW w:w="2255" w:type="dxa"/>
            <w:tcMar>
              <w:top w:w="160" w:type="dxa"/>
            </w:tcMar>
          </w:tcPr>
          <w:p w:rsidR="00153DA1" w:rsidRDefault="00153DA1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153DA1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153DA1" w:rsidRDefault="00153DA1" w:rsidP="009309D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153DA1" w:rsidRDefault="00153DA1" w:rsidP="009309D4">
                  <w:r>
                    <w:t>90</w:t>
                  </w:r>
                </w:p>
              </w:tc>
            </w:tr>
          </w:tbl>
          <w:p w:rsidR="00153DA1" w:rsidRDefault="00153DA1" w:rsidP="009309D4"/>
        </w:tc>
      </w:tr>
      <w:tr w:rsidR="00153DA1" w:rsidTr="009309D4">
        <w:tc>
          <w:tcPr>
            <w:tcW w:w="2255" w:type="dxa"/>
            <w:tcMar>
              <w:top w:w="160" w:type="dxa"/>
            </w:tcMar>
          </w:tcPr>
          <w:p w:rsidR="00153DA1" w:rsidRDefault="00153DA1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153DA1" w:rsidRDefault="00153DA1" w:rsidP="009309D4">
            <w:r>
              <w:t>Za upis kolegija je potrebno položiti kolegij Poljske jezične vježbe IV</w:t>
            </w:r>
          </w:p>
        </w:tc>
      </w:tr>
      <w:tr w:rsidR="00153DA1" w:rsidTr="009309D4">
        <w:tc>
          <w:tcPr>
            <w:tcW w:w="2255" w:type="dxa"/>
            <w:tcMar>
              <w:top w:w="160" w:type="dxa"/>
            </w:tcMar>
          </w:tcPr>
          <w:p w:rsidR="00153DA1" w:rsidRDefault="00153DA1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153DA1" w:rsidRDefault="00153DA1" w:rsidP="009309D4">
            <w:pPr>
              <w:jc w:val="both"/>
            </w:pPr>
            <w:r>
              <w:t>Usavršavanje znanja poljskog jezika i pravilna upotreba pismenih oblika, kao i funkcionalnih stilova. Praktično učenje jezika na razini B2 (prema svim međunarodno priznatim pravilima certifikacije poljskog jezika).</w:t>
            </w:r>
          </w:p>
        </w:tc>
      </w:tr>
      <w:tr w:rsidR="00153DA1" w:rsidTr="009309D4">
        <w:tc>
          <w:tcPr>
            <w:tcW w:w="2255" w:type="dxa"/>
            <w:tcMar>
              <w:top w:w="160" w:type="dxa"/>
            </w:tcMar>
          </w:tcPr>
          <w:p w:rsidR="00153DA1" w:rsidRDefault="00153DA1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53DA1" w:rsidRDefault="00153DA1" w:rsidP="009309D4">
            <w:pPr>
              <w:jc w:val="both"/>
            </w:pPr>
            <w:r>
              <w:t xml:space="preserve">Student razvija razumijevanje po sluhu, gramatičku korektnost, razumijevanje pisanog teksta, pisanje i govor - sve jeziče kompetencije studenta stranog jezika. Studenti tijekom semestra pišu pismene radove na teme vezane uz nastavu , uče prepričavati obrađene tekstove da bi utvrdili znanje novog vokabulara i frazeologije te stekli slobodu neophodnu za konverzaciju . Zasebnu cjelinu čini komunikacijski </w:t>
            </w:r>
            <w:proofErr w:type="spellStart"/>
            <w:r>
              <w:t>dio,upotreba</w:t>
            </w:r>
            <w:proofErr w:type="spellEnd"/>
            <w:r>
              <w:t xml:space="preserve"> određenih fraza kao </w:t>
            </w:r>
            <w:proofErr w:type="spellStart"/>
            <w:r>
              <w:t>np</w:t>
            </w:r>
            <w:proofErr w:type="spellEnd"/>
            <w:r>
              <w:t xml:space="preserve">. </w:t>
            </w:r>
            <w:proofErr w:type="spellStart"/>
            <w:r>
              <w:t>co</w:t>
            </w:r>
            <w:proofErr w:type="spellEnd"/>
            <w:r>
              <w:t xml:space="preserve"> </w:t>
            </w:r>
            <w:proofErr w:type="spellStart"/>
            <w:r>
              <w:t>pan</w:t>
            </w:r>
            <w:proofErr w:type="spellEnd"/>
            <w:r>
              <w:t xml:space="preserve"> </w:t>
            </w:r>
            <w:proofErr w:type="spellStart"/>
            <w:r>
              <w:t>mysli</w:t>
            </w:r>
            <w:proofErr w:type="spellEnd"/>
            <w:r>
              <w:t xml:space="preserve"> o ....... te vježbe koje provjeravaju njihovu upotrebu. Koriste se metode izravnog podučavanja, multimedijalne prezentacije kao i </w:t>
            </w:r>
            <w:proofErr w:type="spellStart"/>
            <w:r>
              <w:t>aktivirajuće</w:t>
            </w:r>
            <w:proofErr w:type="spellEnd"/>
            <w:r>
              <w:t xml:space="preserve"> metode - </w:t>
            </w:r>
            <w:proofErr w:type="spellStart"/>
            <w:r>
              <w:t>dialog</w:t>
            </w:r>
            <w:proofErr w:type="spellEnd"/>
            <w:r>
              <w:t xml:space="preserve">, didaktičke igre, </w:t>
            </w:r>
            <w:proofErr w:type="spellStart"/>
            <w:r>
              <w:t>uprizorenja.e</w:t>
            </w:r>
            <w:proofErr w:type="spellEnd"/>
            <w:r>
              <w:t xml:space="preserve"> Programske metode: korištenje programskoga priručnika. (naglasak je postavljen na upotrebu fraza i idioma) Izbor članaka iz poljskog tiska obrađuje aktualne ali i provokativne teme pogodne za konverzaciju i debatu. </w:t>
            </w:r>
          </w:p>
        </w:tc>
      </w:tr>
      <w:tr w:rsidR="00153DA1" w:rsidTr="009309D4">
        <w:tc>
          <w:tcPr>
            <w:tcW w:w="2255" w:type="dxa"/>
            <w:tcMar>
              <w:top w:w="160" w:type="dxa"/>
            </w:tcMar>
          </w:tcPr>
          <w:p w:rsidR="00153DA1" w:rsidRDefault="00153DA1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153DA1" w:rsidRDefault="00153DA1" w:rsidP="009309D4">
            <w:pPr>
              <w:jc w:val="both"/>
            </w:pPr>
            <w:r>
              <w:t xml:space="preserve">Tijekom semestra studenti pišu nekoliko pismenih radova, usmeno odgovaraju prepričavanje i razgovor na obrađene teme uz posebnu provjeru praktične primjene novog vokabulara i fraza, te pišu dva kolokvija - provjere stečenog znanja gramatike. Student ima obavezu </w:t>
            </w:r>
            <w:proofErr w:type="spellStart"/>
            <w:r>
              <w:t>pripremimiti</w:t>
            </w:r>
            <w:proofErr w:type="spellEnd"/>
            <w:r>
              <w:t xml:space="preserve"> jednu samostalnu prezentaciju uz pomoć audiovizualnih materijala na temu vezanu uz poljsku kulturu. Studenti pišu ispit prema svim pravilima certifikacije. Završna ocjena sastoji se od rezultata ispita - 70% i ocjene dobivene na osnovu </w:t>
            </w:r>
            <w:proofErr w:type="spellStart"/>
            <w:r>
              <w:t>cijelogodišnjih</w:t>
            </w:r>
            <w:proofErr w:type="spellEnd"/>
            <w:r>
              <w:t xml:space="preserve"> rezultata 30%. Ocjene su izražene brojčano. </w:t>
            </w:r>
          </w:p>
        </w:tc>
      </w:tr>
      <w:tr w:rsidR="00153DA1" w:rsidTr="009309D4">
        <w:tc>
          <w:tcPr>
            <w:tcW w:w="2255" w:type="dxa"/>
            <w:tcMar>
              <w:top w:w="160" w:type="dxa"/>
            </w:tcMar>
          </w:tcPr>
          <w:p w:rsidR="00153DA1" w:rsidRDefault="00153DA1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153DA1" w:rsidRDefault="00153DA1" w:rsidP="009309D4"/>
        </w:tc>
      </w:tr>
      <w:tr w:rsidR="00153DA1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r>
                    <w:t>opisati različite situacije važne za neometanu komunikaciju i istodobno intervjuirati sugovornike na poljskom jeziku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r>
                    <w:t>razumjeti pisani i govoreni tekst, interpretirati pročitani i odslušani sadržaj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r>
                    <w:t>uočiti vlastite jezične (govorene i pisane) nesigurnosti i stvoriti uvjete za njihovo uklanjanje</w:t>
                  </w:r>
                </w:p>
              </w:tc>
            </w:tr>
          </w:tbl>
          <w:p w:rsidR="00153DA1" w:rsidRDefault="00153DA1" w:rsidP="009309D4"/>
        </w:tc>
      </w:tr>
      <w:tr w:rsidR="00153DA1" w:rsidTr="009309D4">
        <w:tc>
          <w:tcPr>
            <w:tcW w:w="2255" w:type="dxa"/>
            <w:tcMar>
              <w:top w:w="160" w:type="dxa"/>
            </w:tcMar>
          </w:tcPr>
          <w:p w:rsidR="00153DA1" w:rsidRDefault="00153DA1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153DA1" w:rsidRDefault="00153DA1" w:rsidP="009309D4"/>
        </w:tc>
      </w:tr>
      <w:tr w:rsidR="00153DA1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r>
                    <w:t xml:space="preserve">Svaka od navedenih cjelina sadrži izbor tekstova (poljski tisak), koji služe kao materija za prevođenje, proširivanje vokabulara, vježbe konsekutivnog prevođenja na hrvatski jezik, upotrebu novo naučenih fraza u razgovoru .Neke od navedenih tema nadopunjuju se aktualnim tekstovima i audiovizualnim </w:t>
                  </w:r>
                  <w:proofErr w:type="spellStart"/>
                  <w:r>
                    <w:t>materialom</w:t>
                  </w:r>
                  <w:proofErr w:type="spellEnd"/>
                  <w:r>
                    <w:t xml:space="preserve"> te ovisno o potrebama mogu se produžiti.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proofErr w:type="spellStart"/>
                  <w:r>
                    <w:t>Wyrażanie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własnej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opinii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Idiomy</w:t>
                  </w:r>
                  <w:proofErr w:type="spellEnd"/>
                  <w:r>
                    <w:t xml:space="preserve">: dom, </w:t>
                  </w:r>
                  <w:proofErr w:type="spellStart"/>
                  <w:r>
                    <w:t>kąt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powietrze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Gramatyka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negacja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podwójna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wielokrotna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trzeba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można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warto</w:t>
                  </w:r>
                  <w:proofErr w:type="spellEnd"/>
                  <w:r>
                    <w:t>.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lastRenderedPageBreak/>
                    <w:t>3.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proofErr w:type="spellStart"/>
                  <w:r>
                    <w:t>Kobieta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białogłowa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żona</w:t>
                  </w:r>
                  <w:proofErr w:type="spellEnd"/>
                  <w:r>
                    <w:t xml:space="preserve"> .... – tekst </w:t>
                  </w:r>
                  <w:proofErr w:type="spellStart"/>
                  <w:r>
                    <w:t>dotyczący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historii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zastosowania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tych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pojęć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współczesnym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języku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polskim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porównanie</w:t>
                  </w:r>
                  <w:proofErr w:type="spellEnd"/>
                  <w:r>
                    <w:t xml:space="preserve"> z </w:t>
                  </w:r>
                  <w:proofErr w:type="spellStart"/>
                  <w:r>
                    <w:t>językiem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chorwackim</w:t>
                  </w:r>
                  <w:proofErr w:type="spellEnd"/>
                  <w:r>
                    <w:t>)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proofErr w:type="spellStart"/>
                  <w:r>
                    <w:t>Oburzenie</w:t>
                  </w:r>
                  <w:proofErr w:type="spellEnd"/>
                  <w:r>
                    <w:t xml:space="preserve"> i protest. </w:t>
                  </w:r>
                  <w:proofErr w:type="spellStart"/>
                  <w:r>
                    <w:t>Idiomy</w:t>
                  </w:r>
                  <w:proofErr w:type="spellEnd"/>
                  <w:r>
                    <w:t xml:space="preserve">: bajka, </w:t>
                  </w:r>
                  <w:proofErr w:type="spellStart"/>
                  <w:r>
                    <w:t>kąt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nuda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Gramatyka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państwo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nazwiska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nazwy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deminutywne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powinien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tryb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rozkazujący</w:t>
                  </w:r>
                  <w:proofErr w:type="spellEnd"/>
                  <w:r>
                    <w:t>.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proofErr w:type="spellStart"/>
                  <w:r>
                    <w:t>Komplementy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Idiomy</w:t>
                  </w:r>
                  <w:proofErr w:type="spellEnd"/>
                  <w:r>
                    <w:t xml:space="preserve">: ulica, moda, but, </w:t>
                  </w:r>
                  <w:proofErr w:type="spellStart"/>
                  <w:r>
                    <w:t>pantofel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Gramatyka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Formy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męskoosobowe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rzeczowe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czasownika</w:t>
                  </w:r>
                  <w:proofErr w:type="spellEnd"/>
                  <w:r>
                    <w:t xml:space="preserve">, aspekt </w:t>
                  </w:r>
                  <w:proofErr w:type="spellStart"/>
                  <w:r>
                    <w:t>czasowników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nazwy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czynności</w:t>
                  </w:r>
                  <w:proofErr w:type="spellEnd"/>
                  <w:r>
                    <w:t>.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proofErr w:type="spellStart"/>
                  <w:r>
                    <w:t>Prośba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radę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Idiomy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jeść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słodki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ryba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Gramatyka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Imiesłów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przymiotnikowy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czynny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tryb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warunkowy</w:t>
                  </w:r>
                  <w:proofErr w:type="spellEnd"/>
                  <w:r>
                    <w:t>.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proofErr w:type="spellStart"/>
                  <w:r>
                    <w:t>Zleksykalizowane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wyrażenia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zwroty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zawierające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przymiotniki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przysłówki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utworzone</w:t>
                  </w:r>
                  <w:proofErr w:type="spellEnd"/>
                  <w:r>
                    <w:t xml:space="preserve"> od </w:t>
                  </w:r>
                  <w:proofErr w:type="spellStart"/>
                  <w:r>
                    <w:t>nazw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narodowości</w:t>
                  </w:r>
                  <w:proofErr w:type="spellEnd"/>
                  <w:r>
                    <w:t>.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proofErr w:type="spellStart"/>
                  <w:r>
                    <w:t>Argumentacja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Idiomy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historia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mur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Gramatyka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Imiesłów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przymiotnikowy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bierny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strona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bierna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przymiotniki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odrzeczownikowe</w:t>
                  </w:r>
                  <w:proofErr w:type="spellEnd"/>
                  <w:r>
                    <w:t>.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proofErr w:type="spellStart"/>
                  <w:r>
                    <w:t>Strach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niepokój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obojętność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fascynacja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Idiomy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słowo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Gramatyka</w:t>
                  </w:r>
                  <w:proofErr w:type="spellEnd"/>
                  <w:r>
                    <w:t xml:space="preserve"> - </w:t>
                  </w:r>
                  <w:proofErr w:type="spellStart"/>
                  <w:r>
                    <w:t>składnia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liczebników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deklinacja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liczebników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głównych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wyrazy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złożone</w:t>
                  </w:r>
                  <w:proofErr w:type="spellEnd"/>
                  <w:r>
                    <w:t>.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r>
                    <w:t>tekst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r>
                    <w:t>tekst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r>
                    <w:t>tekst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r>
                    <w:t>tekst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r>
                    <w:t>tekst</w:t>
                  </w:r>
                </w:p>
              </w:tc>
            </w:tr>
            <w:tr w:rsidR="00153DA1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153DA1" w:rsidRDefault="00153DA1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153DA1" w:rsidRDefault="00153DA1" w:rsidP="009309D4">
                  <w:pPr>
                    <w:jc w:val="both"/>
                  </w:pPr>
                  <w:r>
                    <w:t>tekst</w:t>
                  </w:r>
                </w:p>
              </w:tc>
            </w:tr>
          </w:tbl>
          <w:p w:rsidR="00153DA1" w:rsidRDefault="00153DA1" w:rsidP="009309D4"/>
        </w:tc>
      </w:tr>
      <w:tr w:rsidR="00153DA1" w:rsidTr="009309D4">
        <w:tc>
          <w:tcPr>
            <w:tcW w:w="2255" w:type="dxa"/>
          </w:tcPr>
          <w:p w:rsidR="00153DA1" w:rsidRDefault="00153DA1" w:rsidP="009309D4"/>
        </w:tc>
        <w:tc>
          <w:tcPr>
            <w:tcW w:w="6765" w:type="dxa"/>
          </w:tcPr>
          <w:p w:rsidR="00153DA1" w:rsidRDefault="00153DA1" w:rsidP="009309D4"/>
        </w:tc>
      </w:tr>
    </w:tbl>
    <w:p w:rsidR="00153DA1" w:rsidRDefault="00153DA1" w:rsidP="00153DA1"/>
    <w:p w:rsidR="00153DA1" w:rsidRDefault="00153DA1" w:rsidP="00153DA1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A1"/>
    <w:rsid w:val="00086A05"/>
    <w:rsid w:val="00153DA1"/>
    <w:rsid w:val="0016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23807-5E4E-45FD-A59F-E3BF4FA2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53D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2021-10-29T14:13:00Z</dcterms:created>
  <dcterms:modified xsi:type="dcterms:W3CDTF">2021-10-29T14:14:00Z</dcterms:modified>
</cp:coreProperties>
</file>