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1112"/>
        <w:gridCol w:w="2410"/>
        <w:gridCol w:w="3148"/>
        <w:gridCol w:w="1808"/>
      </w:tblGrid>
      <w:tr w:rsidR="00AA49C2" w14:paraId="1EB49CEC" w14:textId="77777777" w:rsidTr="00CF5AA7">
        <w:tc>
          <w:tcPr>
            <w:tcW w:w="584" w:type="dxa"/>
          </w:tcPr>
          <w:p w14:paraId="29FB2094" w14:textId="77777777" w:rsidR="00AA49C2" w:rsidRDefault="00AA49C2" w:rsidP="00CF5AA7">
            <w:r>
              <w:t>Rbr.</w:t>
            </w:r>
          </w:p>
        </w:tc>
        <w:tc>
          <w:tcPr>
            <w:tcW w:w="1112" w:type="dxa"/>
          </w:tcPr>
          <w:p w14:paraId="221D98EC" w14:textId="77777777" w:rsidR="00AA49C2" w:rsidRPr="004D379C" w:rsidRDefault="00AA49C2" w:rsidP="00CF5AA7">
            <w:r w:rsidRPr="004D379C">
              <w:t>Studij</w:t>
            </w:r>
          </w:p>
        </w:tc>
        <w:tc>
          <w:tcPr>
            <w:tcW w:w="2410" w:type="dxa"/>
          </w:tcPr>
          <w:p w14:paraId="64805054" w14:textId="77777777" w:rsidR="00AA49C2" w:rsidRDefault="00AA49C2" w:rsidP="00CF5AA7">
            <w:r>
              <w:t>Ime i prezime studenta</w:t>
            </w:r>
          </w:p>
        </w:tc>
        <w:tc>
          <w:tcPr>
            <w:tcW w:w="3148" w:type="dxa"/>
          </w:tcPr>
          <w:p w14:paraId="29968201" w14:textId="77777777" w:rsidR="00AA49C2" w:rsidRDefault="00AA49C2" w:rsidP="00CF5AA7">
            <w:r>
              <w:t>Naslov rada</w:t>
            </w:r>
          </w:p>
        </w:tc>
        <w:tc>
          <w:tcPr>
            <w:tcW w:w="1808" w:type="dxa"/>
          </w:tcPr>
          <w:p w14:paraId="0E0631E3" w14:textId="77777777" w:rsidR="00AA49C2" w:rsidRDefault="00AA49C2" w:rsidP="00CF5AA7">
            <w:r>
              <w:t>Mentor</w:t>
            </w:r>
          </w:p>
        </w:tc>
      </w:tr>
      <w:tr w:rsidR="00AA49C2" w14:paraId="4A61D2BB" w14:textId="77777777" w:rsidTr="00CF5AA7">
        <w:tc>
          <w:tcPr>
            <w:tcW w:w="584" w:type="dxa"/>
          </w:tcPr>
          <w:p w14:paraId="5E8582EB" w14:textId="00672B62" w:rsidR="00AA49C2" w:rsidRDefault="00AA49C2" w:rsidP="00CF5AA7">
            <w:r>
              <w:t>1</w:t>
            </w:r>
            <w:r>
              <w:t>.</w:t>
            </w:r>
          </w:p>
        </w:tc>
        <w:tc>
          <w:tcPr>
            <w:tcW w:w="1112" w:type="dxa"/>
          </w:tcPr>
          <w:p w14:paraId="42FC6669" w14:textId="77777777" w:rsidR="00AA49C2" w:rsidRPr="004D379C" w:rsidRDefault="00AA49C2" w:rsidP="00CF5AA7">
            <w:r w:rsidRPr="004D379C">
              <w:t>BOH</w:t>
            </w:r>
          </w:p>
        </w:tc>
        <w:tc>
          <w:tcPr>
            <w:tcW w:w="2410" w:type="dxa"/>
          </w:tcPr>
          <w:p w14:paraId="67F19957" w14:textId="77777777" w:rsidR="00AA49C2" w:rsidRDefault="00AA49C2" w:rsidP="00CF5AA7">
            <w:r>
              <w:t>Tomislav Bartol</w:t>
            </w:r>
          </w:p>
        </w:tc>
        <w:tc>
          <w:tcPr>
            <w:tcW w:w="3148" w:type="dxa"/>
          </w:tcPr>
          <w:p w14:paraId="3A949E95" w14:textId="77777777" w:rsidR="00AA49C2" w:rsidRPr="00F73E1A" w:rsidRDefault="00AA49C2" w:rsidP="00CF5AA7">
            <w:r>
              <w:t>Analiza frazema sa sastavnicom  „oko“ kao sredstvom karakterizacije u hrvatskom i češkom</w:t>
            </w:r>
          </w:p>
        </w:tc>
        <w:tc>
          <w:tcPr>
            <w:tcW w:w="1808" w:type="dxa"/>
          </w:tcPr>
          <w:p w14:paraId="72949D42" w14:textId="77777777" w:rsidR="00AA49C2" w:rsidRDefault="00AA49C2" w:rsidP="00CF5AA7">
            <w:r>
              <w:t>S. Ribarova, viša lektorica</w:t>
            </w:r>
          </w:p>
        </w:tc>
      </w:tr>
      <w:tr w:rsidR="00AA49C2" w14:paraId="3A2E2107" w14:textId="77777777" w:rsidTr="00CF5AA7">
        <w:tc>
          <w:tcPr>
            <w:tcW w:w="584" w:type="dxa"/>
          </w:tcPr>
          <w:p w14:paraId="25DE1D30" w14:textId="1779F3AA" w:rsidR="00AA49C2" w:rsidRDefault="00AA49C2" w:rsidP="00CF5AA7">
            <w:r>
              <w:t>2</w:t>
            </w:r>
            <w:r>
              <w:t>.</w:t>
            </w:r>
          </w:p>
        </w:tc>
        <w:tc>
          <w:tcPr>
            <w:tcW w:w="1112" w:type="dxa"/>
          </w:tcPr>
          <w:p w14:paraId="55127854" w14:textId="77777777" w:rsidR="00AA49C2" w:rsidRPr="004D379C" w:rsidRDefault="00AA49C2" w:rsidP="00CF5AA7">
            <w:r w:rsidRPr="004D379C">
              <w:t>BOH</w:t>
            </w:r>
          </w:p>
        </w:tc>
        <w:tc>
          <w:tcPr>
            <w:tcW w:w="2410" w:type="dxa"/>
          </w:tcPr>
          <w:p w14:paraId="409F09B4" w14:textId="77777777" w:rsidR="00AA49C2" w:rsidRDefault="00AA49C2" w:rsidP="00CF5AA7">
            <w:r>
              <w:t>Katarina Kovačić</w:t>
            </w:r>
          </w:p>
        </w:tc>
        <w:tc>
          <w:tcPr>
            <w:tcW w:w="3148" w:type="dxa"/>
          </w:tcPr>
          <w:p w14:paraId="30441A67" w14:textId="77777777" w:rsidR="00AA49C2" w:rsidRDefault="00AA49C2" w:rsidP="00CF5AA7">
            <w:r>
              <w:t>Lingvokulturalni dodiri češkog i hrvatskog jezika u srednjoj Dalmaciji na primjeru turizma</w:t>
            </w:r>
          </w:p>
        </w:tc>
        <w:tc>
          <w:tcPr>
            <w:tcW w:w="1808" w:type="dxa"/>
          </w:tcPr>
          <w:p w14:paraId="3FB5BD5B" w14:textId="77777777" w:rsidR="00AA49C2" w:rsidRDefault="00AA49C2" w:rsidP="00CF5AA7">
            <w:r>
              <w:t>S. Ribarova, viša lektorica</w:t>
            </w:r>
          </w:p>
        </w:tc>
      </w:tr>
      <w:tr w:rsidR="00AA49C2" w14:paraId="1158D1AC" w14:textId="77777777" w:rsidTr="00CF5AA7">
        <w:tc>
          <w:tcPr>
            <w:tcW w:w="584" w:type="dxa"/>
          </w:tcPr>
          <w:p w14:paraId="16B5E2A3" w14:textId="66F079B0" w:rsidR="00AA49C2" w:rsidRDefault="00AA49C2" w:rsidP="00CF5AA7">
            <w:r>
              <w:t>3</w:t>
            </w:r>
            <w:r>
              <w:t>.</w:t>
            </w:r>
          </w:p>
        </w:tc>
        <w:tc>
          <w:tcPr>
            <w:tcW w:w="1112" w:type="dxa"/>
          </w:tcPr>
          <w:p w14:paraId="5AC43991" w14:textId="77777777" w:rsidR="00AA49C2" w:rsidRPr="004D379C" w:rsidRDefault="00AA49C2" w:rsidP="00CF5AA7">
            <w:r w:rsidRPr="004D379C">
              <w:t>BOH</w:t>
            </w:r>
          </w:p>
        </w:tc>
        <w:tc>
          <w:tcPr>
            <w:tcW w:w="2410" w:type="dxa"/>
          </w:tcPr>
          <w:p w14:paraId="34E14BEA" w14:textId="77777777" w:rsidR="00AA49C2" w:rsidRDefault="00AA49C2" w:rsidP="00CF5AA7">
            <w:r>
              <w:t>Valentina Gregorić</w:t>
            </w:r>
          </w:p>
        </w:tc>
        <w:tc>
          <w:tcPr>
            <w:tcW w:w="3148" w:type="dxa"/>
          </w:tcPr>
          <w:p w14:paraId="422A1A7D" w14:textId="77777777" w:rsidR="00AA49C2" w:rsidRDefault="00AA49C2" w:rsidP="00CF5AA7">
            <w:r>
              <w:t>Usporedba hrvatskih i čeških svadbenih folklornih pjesama</w:t>
            </w:r>
          </w:p>
        </w:tc>
        <w:tc>
          <w:tcPr>
            <w:tcW w:w="1808" w:type="dxa"/>
          </w:tcPr>
          <w:p w14:paraId="6446F604" w14:textId="77777777" w:rsidR="00AA49C2" w:rsidRDefault="00AA49C2" w:rsidP="00CF5AA7">
            <w:r>
              <w:t>S. Ribarova, viša lektorica</w:t>
            </w:r>
          </w:p>
        </w:tc>
      </w:tr>
      <w:tr w:rsidR="00AA49C2" w14:paraId="6EEB296A" w14:textId="77777777" w:rsidTr="00CF5AA7">
        <w:tc>
          <w:tcPr>
            <w:tcW w:w="584" w:type="dxa"/>
          </w:tcPr>
          <w:p w14:paraId="17705B46" w14:textId="72656786" w:rsidR="00AA49C2" w:rsidRDefault="00AA49C2" w:rsidP="00CF5AA7">
            <w:r>
              <w:t>4</w:t>
            </w:r>
            <w:r>
              <w:t>.</w:t>
            </w:r>
          </w:p>
        </w:tc>
        <w:tc>
          <w:tcPr>
            <w:tcW w:w="1112" w:type="dxa"/>
          </w:tcPr>
          <w:p w14:paraId="4C6A5137" w14:textId="77777777" w:rsidR="00AA49C2" w:rsidRPr="004D379C" w:rsidRDefault="00AA49C2" w:rsidP="00CF5AA7">
            <w:r w:rsidRPr="004D379C">
              <w:t>BOH</w:t>
            </w:r>
          </w:p>
        </w:tc>
        <w:tc>
          <w:tcPr>
            <w:tcW w:w="2410" w:type="dxa"/>
          </w:tcPr>
          <w:p w14:paraId="25BA7B15" w14:textId="77777777" w:rsidR="00AA49C2" w:rsidRDefault="00AA49C2" w:rsidP="00CF5AA7">
            <w:r>
              <w:t>Gabrijela Ivanko</w:t>
            </w:r>
          </w:p>
        </w:tc>
        <w:tc>
          <w:tcPr>
            <w:tcW w:w="3148" w:type="dxa"/>
          </w:tcPr>
          <w:p w14:paraId="7E108EC5" w14:textId="77777777" w:rsidR="00AA49C2" w:rsidRDefault="00AA49C2" w:rsidP="00CF5AA7">
            <w:r>
              <w:t xml:space="preserve">Prijevod frazema u Hašekovu romanu </w:t>
            </w:r>
            <w:r w:rsidRPr="00E54073">
              <w:rPr>
                <w:i/>
              </w:rPr>
              <w:t>Doživljaji dobrog vojaka Švejka za svjetskog rata</w:t>
            </w:r>
            <w:r>
              <w:t>: Usporedna analiza prijevoda Ljudevita Jonkea i Nade Gašić</w:t>
            </w:r>
          </w:p>
        </w:tc>
        <w:tc>
          <w:tcPr>
            <w:tcW w:w="1808" w:type="dxa"/>
          </w:tcPr>
          <w:p w14:paraId="5C4219F8" w14:textId="77777777" w:rsidR="00AA49C2" w:rsidRDefault="00AA49C2" w:rsidP="00CF5AA7">
            <w:r>
              <w:t>S. Ribarova, viša lektorica</w:t>
            </w:r>
          </w:p>
        </w:tc>
      </w:tr>
      <w:tr w:rsidR="00AA49C2" w14:paraId="404C784E" w14:textId="77777777" w:rsidTr="00CF5AA7">
        <w:tc>
          <w:tcPr>
            <w:tcW w:w="584" w:type="dxa"/>
          </w:tcPr>
          <w:p w14:paraId="4EA0BE0B" w14:textId="675DCCA3" w:rsidR="00AA49C2" w:rsidRDefault="00AA49C2" w:rsidP="00CF5AA7">
            <w:r>
              <w:t>5</w:t>
            </w:r>
            <w:r>
              <w:t xml:space="preserve">. </w:t>
            </w:r>
          </w:p>
        </w:tc>
        <w:tc>
          <w:tcPr>
            <w:tcW w:w="1112" w:type="dxa"/>
          </w:tcPr>
          <w:p w14:paraId="07A793A0" w14:textId="77777777" w:rsidR="00AA49C2" w:rsidRPr="004D379C" w:rsidRDefault="00AA49C2" w:rsidP="00CF5AA7">
            <w:r w:rsidRPr="004D379C">
              <w:t>BOH</w:t>
            </w:r>
          </w:p>
        </w:tc>
        <w:tc>
          <w:tcPr>
            <w:tcW w:w="2410" w:type="dxa"/>
          </w:tcPr>
          <w:p w14:paraId="42D71C9E" w14:textId="77777777" w:rsidR="00AA49C2" w:rsidRDefault="00AA49C2" w:rsidP="00CF5AA7">
            <w:r>
              <w:t>Luna Šarić</w:t>
            </w:r>
          </w:p>
        </w:tc>
        <w:tc>
          <w:tcPr>
            <w:tcW w:w="3148" w:type="dxa"/>
          </w:tcPr>
          <w:p w14:paraId="5171BBC7" w14:textId="77777777" w:rsidR="00AA49C2" w:rsidRDefault="00AA49C2" w:rsidP="00CF5AA7">
            <w:r>
              <w:t>Stvaralaštvo V</w:t>
            </w:r>
            <w:r>
              <w:rPr>
                <w:rFonts w:cstheme="minorHAnsi"/>
              </w:rPr>
              <w:t>ěre C</w:t>
            </w:r>
            <w:r>
              <w:t xml:space="preserve">hytilove u kontekstu češkog novog vala – </w:t>
            </w:r>
            <w:r w:rsidRPr="00B74EA6">
              <w:rPr>
                <w:i/>
              </w:rPr>
              <w:t>Sedmikr</w:t>
            </w:r>
            <w:r w:rsidRPr="00B74EA6">
              <w:rPr>
                <w:rFonts w:cstheme="minorHAnsi"/>
                <w:i/>
              </w:rPr>
              <w:t>á</w:t>
            </w:r>
            <w:r w:rsidRPr="00B74EA6">
              <w:rPr>
                <w:i/>
              </w:rPr>
              <w:t>sky</w:t>
            </w:r>
            <w:r>
              <w:t xml:space="preserve"> kao društevni pamflet</w:t>
            </w:r>
          </w:p>
        </w:tc>
        <w:tc>
          <w:tcPr>
            <w:tcW w:w="1808" w:type="dxa"/>
          </w:tcPr>
          <w:p w14:paraId="133DAE18" w14:textId="77777777" w:rsidR="00AA49C2" w:rsidRDefault="00AA49C2" w:rsidP="00CF5AA7">
            <w:r>
              <w:t>dr. sc. Suzana Kos</w:t>
            </w:r>
          </w:p>
        </w:tc>
      </w:tr>
      <w:tr w:rsidR="00AA49C2" w14:paraId="2D81386E" w14:textId="77777777" w:rsidTr="00CF5AA7">
        <w:tc>
          <w:tcPr>
            <w:tcW w:w="584" w:type="dxa"/>
          </w:tcPr>
          <w:p w14:paraId="50B01AE8" w14:textId="2238BEA4" w:rsidR="00AA49C2" w:rsidRDefault="00AA49C2" w:rsidP="00CF5AA7">
            <w:r>
              <w:t>6</w:t>
            </w:r>
            <w:r>
              <w:t>.</w:t>
            </w:r>
          </w:p>
        </w:tc>
        <w:tc>
          <w:tcPr>
            <w:tcW w:w="1112" w:type="dxa"/>
          </w:tcPr>
          <w:p w14:paraId="0F051691" w14:textId="77777777" w:rsidR="00AA49C2" w:rsidRPr="004D379C" w:rsidRDefault="00AA49C2" w:rsidP="00CF5AA7">
            <w:r w:rsidRPr="004D379C">
              <w:t>BOH</w:t>
            </w:r>
          </w:p>
          <w:p w14:paraId="513F7BD0" w14:textId="77777777" w:rsidR="00AA49C2" w:rsidRPr="004D379C" w:rsidRDefault="00AA49C2" w:rsidP="00CF5AA7">
            <w:r w:rsidRPr="004D379C">
              <w:t>NED</w:t>
            </w:r>
          </w:p>
        </w:tc>
        <w:tc>
          <w:tcPr>
            <w:tcW w:w="2410" w:type="dxa"/>
          </w:tcPr>
          <w:p w14:paraId="0B7DAAD0" w14:textId="77777777" w:rsidR="00AA49C2" w:rsidRDefault="00AA49C2" w:rsidP="00CF5AA7">
            <w:r>
              <w:t>Matko Vučić</w:t>
            </w:r>
          </w:p>
        </w:tc>
        <w:tc>
          <w:tcPr>
            <w:tcW w:w="3148" w:type="dxa"/>
          </w:tcPr>
          <w:p w14:paraId="6F0EB5A4" w14:textId="77777777" w:rsidR="00AA49C2" w:rsidRDefault="00AA49C2" w:rsidP="00CF5AA7">
            <w:r>
              <w:t>Usporedba digitalnih alata za prevođenje i ljudskih prevoditelja</w:t>
            </w:r>
          </w:p>
          <w:p w14:paraId="225B4ABE" w14:textId="77777777" w:rsidR="00AA49C2" w:rsidRPr="006A6A35" w:rsidRDefault="00AA49C2" w:rsidP="00CF5AA7">
            <w:pPr>
              <w:rPr>
                <w:i/>
              </w:rPr>
            </w:pPr>
            <w:r w:rsidRPr="006A6A35">
              <w:rPr>
                <w:i/>
              </w:rPr>
              <w:t>Inter</w:t>
            </w:r>
            <w:r>
              <w:rPr>
                <w:i/>
              </w:rPr>
              <w:t>disc</w:t>
            </w:r>
            <w:r w:rsidRPr="006A6A35">
              <w:rPr>
                <w:i/>
              </w:rPr>
              <w:t>iplinarni rad!</w:t>
            </w:r>
          </w:p>
        </w:tc>
        <w:tc>
          <w:tcPr>
            <w:tcW w:w="1808" w:type="dxa"/>
          </w:tcPr>
          <w:p w14:paraId="234F1FBC" w14:textId="77777777" w:rsidR="00AA49C2" w:rsidRDefault="00AA49C2" w:rsidP="00CF5AA7">
            <w:r>
              <w:t>dr.sc. Petar Vuković i mr. sc. Maarten Rombouts, viši lektor</w:t>
            </w:r>
          </w:p>
        </w:tc>
      </w:tr>
    </w:tbl>
    <w:p w14:paraId="5A02DE76" w14:textId="77777777" w:rsidR="00983864" w:rsidRDefault="00983864"/>
    <w:sectPr w:rsidR="00983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C2"/>
    <w:rsid w:val="000D153E"/>
    <w:rsid w:val="00250DC6"/>
    <w:rsid w:val="00285BCB"/>
    <w:rsid w:val="004F2D4B"/>
    <w:rsid w:val="00983864"/>
    <w:rsid w:val="00AA49C2"/>
    <w:rsid w:val="00D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CAD2"/>
  <w15:chartTrackingRefBased/>
  <w15:docId w15:val="{B6BD2CB8-843C-4BE1-B352-364C4760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9C2"/>
    <w:pPr>
      <w:spacing w:line="259" w:lineRule="auto"/>
    </w:pPr>
    <w:rPr>
      <w:rFonts w:eastAsiaTheme="minorEastAsia"/>
      <w:kern w:val="0"/>
      <w:sz w:val="22"/>
      <w:szCs w:val="22"/>
      <w:lang w:val="hr-HR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9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9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9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9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9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9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9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9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9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9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9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9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9C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4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9C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49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9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9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A49C2"/>
    <w:pPr>
      <w:spacing w:after="0" w:line="240" w:lineRule="auto"/>
    </w:pPr>
    <w:rPr>
      <w:rFonts w:eastAsiaTheme="minorEastAsia"/>
      <w:kern w:val="0"/>
      <w:sz w:val="22"/>
      <w:szCs w:val="22"/>
      <w:lang w:val="hr-HR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Banas</dc:creator>
  <cp:keywords/>
  <dc:description/>
  <cp:lastModifiedBy>Sandra Banas</cp:lastModifiedBy>
  <cp:revision>1</cp:revision>
  <dcterms:created xsi:type="dcterms:W3CDTF">2025-05-07T13:28:00Z</dcterms:created>
  <dcterms:modified xsi:type="dcterms:W3CDTF">2025-05-07T13:30:00Z</dcterms:modified>
</cp:coreProperties>
</file>